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6C2415" w:rsidRPr="00802BD3">
      <w:pPr>
        <w:widowControl/>
        <w:shd w:val="clear" w:color="auto" w:fill="FFFFFF"/>
        <w:spacing w:after="225"/>
        <w:jc w:val="center"/>
        <w:outlineLvl w:val="0"/>
        <w:rPr>
          <w:rFonts w:ascii="宋体" w:eastAsia="宋体" w:hAnsi="宋体" w:cs="宋体"/>
          <w:b/>
          <w:bCs/>
          <w:kern w:val="36"/>
          <w:sz w:val="28"/>
          <w:szCs w:val="28"/>
        </w:rPr>
      </w:pPr>
      <w:r w:rsidRPr="00802BD3">
        <w:rPr>
          <w:rFonts w:ascii="宋体" w:eastAsia="宋体" w:hAnsi="宋体" w:cs="宋体" w:hint="eastAsia"/>
          <w:b/>
          <w:bCs/>
          <w:kern w:val="36"/>
          <w:sz w:val="28"/>
          <w:szCs w:val="28"/>
        </w:rPr>
        <w:t>理财产品非标准化债权类资产投资公告</w:t>
      </w:r>
    </w:p>
    <w:p w:rsidR="006C2415" w:rsidRPr="00802BD3">
      <w:pPr>
        <w:spacing w:line="360" w:lineRule="auto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尊敬的客户：</w:t>
      </w:r>
    </w:p>
    <w:p w:rsidR="006C2415" w:rsidRPr="00802BD3">
      <w:pPr>
        <w:spacing w:line="360" w:lineRule="auto"/>
        <w:ind w:firstLine="420" w:firstLineChars="200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根据产品说明书约定，现对理财产品非标准化债权类资产投资情况披露如下：</w:t>
      </w:r>
    </w:p>
    <w:p w:rsidR="006C2415" w:rsidRPr="00802BD3">
      <w:pPr>
        <w:spacing w:line="360" w:lineRule="auto"/>
        <w:ind w:firstLine="420" w:firstLineChars="200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理财产品基本信息：</w:t>
      </w:r>
    </w:p>
    <w:tbl>
      <w:tblPr>
        <w:tblStyle w:val="TableGrid"/>
        <w:tblW w:w="8300" w:type="dxa"/>
        <w:tblLayout w:type="fixed"/>
        <w:tblLook w:val="04A0"/>
      </w:tblPr>
      <w:tblGrid>
        <w:gridCol w:w="1247"/>
        <w:gridCol w:w="4445"/>
        <w:gridCol w:w="1304"/>
        <w:gridCol w:w="1304"/>
      </w:tblGrid>
      <w:tr w:rsidTr="00BA7D6F">
        <w:tblPrEx>
          <w:tblW w:w="8300" w:type="dxa"/>
          <w:tblLayout w:type="fixed"/>
          <w:tblLook w:val="04A0"/>
        </w:tblPrEx>
        <w:tc>
          <w:tcPr>
            <w:tcW w:w="1247" w:type="dxa"/>
          </w:tcPr>
          <w:p w:rsidR="006C2415" w:rsidRPr="00802BD3">
            <w:pPr>
              <w:jc w:val="center"/>
              <w:rPr>
                <w:szCs w:val="21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产品代码</w:t>
            </w:r>
          </w:p>
        </w:tc>
        <w:tc>
          <w:tcPr>
            <w:tcW w:w="4445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304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产品成立日</w:t>
            </w:r>
          </w:p>
        </w:tc>
        <w:tc>
          <w:tcPr>
            <w:tcW w:w="1304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产品到期日</w:t>
            </w:r>
          </w:p>
        </w:tc>
      </w:tr>
      <w:tr w:rsidTr="00BA7D6F">
        <w:tblPrEx>
          <w:tblW w:w="8300" w:type="dxa"/>
          <w:tblLayout w:type="fixed"/>
          <w:tblLook w:val="04A0"/>
        </w:tblPrEx>
        <w:tc>
          <w:tcPr>
            <w:tcW w:w="1247" w:type="dxa"/>
            <w:vAlign w:val="center"/>
          </w:tcPr>
          <w:p w:rsidR="006C2415" w:rsidRPr="00802BD3">
            <w:pPr>
              <w:jc w:val="center"/>
              <w:rPr>
                <w:szCs w:val="21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XAL23024</w:t>
            </w:r>
          </w:p>
        </w:tc>
        <w:tc>
          <w:tcPr>
            <w:tcW w:w="4445" w:type="dxa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“鑫利”系列鑫安利23024期人民币理财产品</w:t>
            </w:r>
          </w:p>
        </w:tc>
        <w:tc>
          <w:tcPr>
            <w:tcW w:w="1304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2023-02-22</w:t>
            </w:r>
          </w:p>
        </w:tc>
        <w:tc>
          <w:tcPr>
            <w:tcW w:w="1304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kern w:val="0"/>
                <w:szCs w:val="21"/>
              </w:rPr>
              <w:t>2026-03-23</w:t>
            </w:r>
          </w:p>
        </w:tc>
      </w:tr>
    </w:tbl>
    <w:p w:rsidR="006C2415" w:rsidRPr="00802BD3">
      <w:pPr>
        <w:spacing w:line="360" w:lineRule="auto"/>
        <w:rPr>
          <w:rFonts w:ascii="宋体" w:eastAsia="宋体" w:hAnsi="宋体" w:cs="宋体"/>
          <w:b/>
          <w:color w:val="000000"/>
          <w:kern w:val="0"/>
          <w:szCs w:val="21"/>
          <w:lang w:bidi="ar"/>
        </w:rPr>
      </w:pPr>
    </w:p>
    <w:p w:rsidR="006C2415" w:rsidRPr="00802BD3">
      <w:pPr>
        <w:spacing w:line="360" w:lineRule="auto"/>
        <w:ind w:firstLine="420" w:firstLineChars="200"/>
        <w:rPr>
          <w:rFonts w:ascii="宋体" w:eastAsia="宋体" w:hAnsi="宋体" w:cs="宋体"/>
          <w:szCs w:val="21"/>
        </w:rPr>
      </w:pPr>
      <w:r w:rsidRPr="00802BD3">
        <w:rPr>
          <w:rFonts w:ascii="宋体" w:eastAsia="宋体" w:hAnsi="宋体" w:cs="宋体" w:hint="eastAsia"/>
          <w:szCs w:val="21"/>
        </w:rPr>
        <w:t>非标准化债权类资产投资情况：</w:t>
      </w:r>
    </w:p>
    <w:tbl>
      <w:tblPr>
        <w:tblStyle w:val="TableGrid"/>
        <w:tblCaption w:val="表格样式"/>
        <w:tblDescription w:val=" &#10;编号               0.8&#10;交易日期 2.4&#10;融资客户  2.42&#10;项目名称  2.42&#10;剩余融资期限 1.8&#10;到期收益分配 1.8&#10;交易                 1.8&#10;风险状况  1.2&#10;"/>
        <w:tblW w:w="8299" w:type="dxa"/>
        <w:tblLayout w:type="fixed"/>
        <w:tblLook w:val="04A0"/>
      </w:tblPr>
      <w:tblGrid>
        <w:gridCol w:w="454"/>
        <w:gridCol w:w="1361"/>
        <w:gridCol w:w="1372"/>
        <w:gridCol w:w="1485"/>
        <w:gridCol w:w="907"/>
        <w:gridCol w:w="1020"/>
        <w:gridCol w:w="1020"/>
        <w:gridCol w:w="680"/>
      </w:tblGrid>
      <w:tr w:rsidTr="00ED2B54">
        <w:tblPrEx>
          <w:tblW w:w="8299" w:type="dxa"/>
          <w:tblLayout w:type="fixed"/>
          <w:tblLook w:val="04A0"/>
        </w:tblPrEx>
        <w:tc>
          <w:tcPr>
            <w:tcW w:w="454" w:type="dxa"/>
            <w:vAlign w:val="center"/>
          </w:tcPr>
          <w:p w:rsidR="006C2415" w:rsidRPr="00802BD3" w:rsidP="0045346A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1361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交易日期</w:t>
            </w:r>
          </w:p>
        </w:tc>
        <w:tc>
          <w:tcPr>
            <w:tcW w:w="1372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融资客户</w:t>
            </w:r>
          </w:p>
        </w:tc>
        <w:tc>
          <w:tcPr>
            <w:tcW w:w="1485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907" w:type="dxa"/>
            <w:vAlign w:val="center"/>
          </w:tcPr>
          <w:p w:rsidR="0045346A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剩余融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资期限（天）</w:t>
            </w:r>
          </w:p>
        </w:tc>
        <w:tc>
          <w:tcPr>
            <w:tcW w:w="1020" w:type="dxa"/>
            <w:vAlign w:val="center"/>
          </w:tcPr>
          <w:p w:rsidR="00C13681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到期</w:t>
            </w:r>
            <w:bookmarkStart w:id="0" w:name="_GoBack"/>
            <w:bookmarkEnd w:id="0"/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收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益分配</w:t>
            </w:r>
          </w:p>
        </w:tc>
        <w:tc>
          <w:tcPr>
            <w:tcW w:w="1020" w:type="dxa"/>
            <w:vAlign w:val="center"/>
          </w:tcPr>
          <w:p w:rsidR="00C13681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交易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结构</w:t>
            </w:r>
          </w:p>
        </w:tc>
        <w:tc>
          <w:tcPr>
            <w:tcW w:w="680" w:type="dxa"/>
            <w:vAlign w:val="center"/>
          </w:tcPr>
          <w:p w:rsidR="0083363B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风险</w:t>
            </w:r>
          </w:p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状况</w:t>
            </w:r>
          </w:p>
        </w:tc>
      </w:tr>
      <w:tr w:rsidTr="00ED2B54">
        <w:tblPrEx>
          <w:tblW w:w="8299" w:type="dxa"/>
          <w:tblLayout w:type="fixed"/>
          <w:tblLook w:val="04A0"/>
        </w:tblPrEx>
        <w:tc>
          <w:tcPr>
            <w:tcW w:w="454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1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2023-02-24</w:t>
            </w:r>
          </w:p>
        </w:tc>
        <w:tc>
          <w:tcPr>
            <w:tcW w:w="1372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fldChar w:fldCharType="begin"/>
            </w:r>
            <w:r>
              <w:instrText xml:space="preserve"> HYPERLINK "https://www.baidu.com/link?url=AL-dAqq6ERNW65rfgQUjGKR-G42pSaHWZvyATJt502pa_9L4nUFfTInVA8eda9sO&amp;wd=&amp;eqid=d851820d00035c9300000004612759a3" \t "_blank" </w:instrText>
            </w:r>
            <w:r>
              <w:fldChar w:fldCharType="separate"/>
            </w:r>
            <w:r w:rsidRPr="00802BD3" w:rsidR="00C14F0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太保产险客户</w:t>
            </w:r>
            <w:r>
              <w:fldChar w:fldCharType="end"/>
            </w:r>
          </w:p>
        </w:tc>
        <w:tc>
          <w:tcPr>
            <w:tcW w:w="1485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华能信托·惠沣嘉文89号单一资金信托</w:t>
            </w:r>
          </w:p>
        </w:tc>
        <w:tc>
          <w:tcPr>
            <w:tcW w:w="907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i/>
                <w:iCs/>
                <w:color w:val="FF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1116</w:t>
            </w:r>
          </w:p>
        </w:tc>
        <w:tc>
          <w:tcPr>
            <w:tcW w:w="1020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按实际持有本金分配收益</w:t>
            </w:r>
          </w:p>
        </w:tc>
        <w:tc>
          <w:tcPr>
            <w:tcW w:w="1020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非标准化债权类资产</w:t>
            </w:r>
          </w:p>
        </w:tc>
        <w:tc>
          <w:tcPr>
            <w:tcW w:w="680" w:type="dxa"/>
            <w:vAlign w:val="center"/>
          </w:tcPr>
          <w:p w:rsidR="006C2415" w:rsidRPr="00802BD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02BD3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正常</w:t>
            </w:r>
          </w:p>
        </w:tc>
      </w:tr>
    </w:tbl>
    <w:p w:rsidR="006C2415" w:rsidRPr="00802BD3">
      <w:pPr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 w:rsidRPr="00802BD3">
      <w:pPr>
        <w:jc w:val="center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 w:rsidRPr="00802BD3">
      <w:pPr>
        <w:jc w:val="center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 w:rsidRPr="00802BD3">
      <w:pPr>
        <w:widowControl/>
        <w:shd w:val="clear" w:color="auto" w:fill="FFFFFF"/>
        <w:spacing w:before="150" w:after="150" w:line="360" w:lineRule="auto"/>
        <w:ind w:firstLine="480"/>
        <w:jc w:val="right"/>
        <w:rPr>
          <w:rFonts w:ascii="宋体" w:eastAsia="宋体" w:hAnsi="宋体" w:cs="宋体"/>
          <w:kern w:val="0"/>
          <w:szCs w:val="21"/>
        </w:rPr>
      </w:pPr>
      <w:r w:rsidRPr="00802BD3">
        <w:rPr>
          <w:rFonts w:ascii="宋体" w:eastAsia="宋体" w:hAnsi="宋体" w:cs="宋体" w:hint="eastAsia"/>
          <w:kern w:val="0"/>
          <w:szCs w:val="21"/>
        </w:rPr>
        <w:t>上海农村商业银行股份有限公司</w:t>
      </w:r>
    </w:p>
    <w:p w:rsidR="006C2415">
      <w:pPr>
        <w:jc w:val="right"/>
        <w:rPr>
          <w:rFonts w:ascii="宋体" w:eastAsia="宋体" w:hAnsi="宋体" w:cs="宋体"/>
        </w:rPr>
      </w:pPr>
      <w:r w:rsidRPr="00802BD3">
        <w:rPr>
          <w:rFonts w:ascii="宋体" w:eastAsia="宋体" w:hAnsi="宋体" w:cs="宋体" w:hint="eastAsia"/>
          <w:szCs w:val="21"/>
        </w:rPr>
        <w:t>2023年02月28日</w:t>
      </w:r>
    </w:p>
    <w:p w:rsidR="006C2415">
      <w:pPr>
        <w:jc w:val="center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</w:p>
    <w:p w:rsidR="006C2415">
      <w:pPr>
        <w:rPr>
          <w:rFonts w:ascii="宋体" w:eastAsia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F7745"/>
    <w:multiLevelType w:val="multilevel"/>
    <w:tmpl w:val="022F7745"/>
    <w:lvl w:ilvl="0">
      <w:start w:val="1"/>
      <w:numFmt w:val="decimal"/>
      <w:pStyle w:val="HUB11"/>
      <w:suff w:val="nothing"/>
      <w:lvlText w:val="%1、"/>
      <w:lvlJc w:val="left"/>
      <w:pPr>
        <w:ind w:left="568" w:firstLine="0"/>
      </w:pPr>
      <w:rPr>
        <w:rFonts w:ascii="微软雅黑" w:eastAsia="微软雅黑" w:hAnsi="微软雅黑" w:cstheme="minorBid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984" w:hanging="420"/>
      </w:pPr>
    </w:lvl>
    <w:lvl w:ilvl="2">
      <w:start w:val="1"/>
      <w:numFmt w:val="lowerRoman"/>
      <w:lvlText w:val="%3."/>
      <w:lvlJc w:val="right"/>
      <w:pPr>
        <w:ind w:left="1404" w:hanging="420"/>
      </w:pPr>
    </w:lvl>
    <w:lvl w:ilvl="3">
      <w:start w:val="1"/>
      <w:numFmt w:val="decimal"/>
      <w:lvlText w:val="%4."/>
      <w:lvlJc w:val="left"/>
      <w:pPr>
        <w:ind w:left="1824" w:hanging="420"/>
      </w:pPr>
    </w:lvl>
    <w:lvl w:ilvl="4">
      <w:start w:val="1"/>
      <w:numFmt w:val="lowerLetter"/>
      <w:lvlText w:val="%5)"/>
      <w:lvlJc w:val="left"/>
      <w:pPr>
        <w:ind w:left="2244" w:hanging="420"/>
      </w:pPr>
    </w:lvl>
    <w:lvl w:ilvl="5">
      <w:start w:val="1"/>
      <w:numFmt w:val="lowerRoman"/>
      <w:lvlText w:val="%6."/>
      <w:lvlJc w:val="right"/>
      <w:pPr>
        <w:ind w:left="2664" w:hanging="420"/>
      </w:pPr>
    </w:lvl>
    <w:lvl w:ilvl="6">
      <w:start w:val="1"/>
      <w:numFmt w:val="decimal"/>
      <w:lvlText w:val="%7."/>
      <w:lvlJc w:val="left"/>
      <w:pPr>
        <w:ind w:left="3084" w:hanging="420"/>
      </w:pPr>
    </w:lvl>
    <w:lvl w:ilvl="7">
      <w:start w:val="1"/>
      <w:numFmt w:val="lowerLetter"/>
      <w:lvlText w:val="%8)"/>
      <w:lvlJc w:val="left"/>
      <w:pPr>
        <w:ind w:left="3504" w:hanging="420"/>
      </w:pPr>
    </w:lvl>
    <w:lvl w:ilvl="8">
      <w:start w:val="1"/>
      <w:numFmt w:val="lowerRoman"/>
      <w:lvlText w:val="%9."/>
      <w:lvlJc w:val="right"/>
      <w:pPr>
        <w:ind w:left="3924" w:hanging="420"/>
      </w:pPr>
    </w:lvl>
  </w:abstractNum>
  <w:abstractNum w:abstractNumId="1">
    <w:nsid w:val="23B7562F"/>
    <w:multiLevelType w:val="multilevel"/>
    <w:tmpl w:val="23B7562F"/>
    <w:lvl w:ilvl="0">
      <w:start w:val="1"/>
      <w:numFmt w:val="decimal"/>
      <w:pStyle w:val="HUB13"/>
      <w:lvlText w:val="%1)"/>
      <w:lvlJc w:val="left"/>
      <w:pPr>
        <w:ind w:left="121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85C4FA6"/>
    <w:multiLevelType w:val="multilevel"/>
    <w:tmpl w:val="385C4FA6"/>
    <w:lvl w:ilvl="0">
      <w:start w:val="1"/>
      <w:numFmt w:val="lowerLetter"/>
      <w:pStyle w:val="HUBa"/>
      <w:lvlText w:val="%1)"/>
      <w:lvlJc w:val="left"/>
      <w:pPr>
        <w:ind w:left="1413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3">
    <w:nsid w:val="6EB15E2A"/>
    <w:multiLevelType w:val="multilevel"/>
    <w:tmpl w:val="6EB15E2A"/>
    <w:lvl w:ilvl="0">
      <w:start w:val="1"/>
      <w:numFmt w:val="decimal"/>
      <w:pStyle w:val="HUB1"/>
      <w:suff w:val="nothing"/>
      <w:lvlText w:val="%1."/>
      <w:lvlJc w:val="left"/>
      <w:pPr>
        <w:ind w:left="567" w:hanging="567"/>
      </w:pPr>
      <w:rPr>
        <w:rFonts w:ascii="微软雅黑" w:eastAsia="微软雅黑" w:hAnsi="微软雅黑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1">
      <w:start w:val="1"/>
      <w:numFmt w:val="decimal"/>
      <w:pStyle w:val="HUB2"/>
      <w:suff w:val="nothing"/>
      <w:lvlText w:val="%1.%2."/>
      <w:lvlJc w:val="left"/>
      <w:pPr>
        <w:ind w:left="992" w:hanging="567"/>
      </w:pPr>
      <w:rPr>
        <w:rFonts w:ascii="微软雅黑" w:eastAsia="微软雅黑" w:hAnsi="微软雅黑" w:hint="eastAsia"/>
        <w:b/>
      </w:rPr>
    </w:lvl>
    <w:lvl w:ilvl="2">
      <w:start w:val="1"/>
      <w:numFmt w:val="decimal"/>
      <w:pStyle w:val="HUB3"/>
      <w:suff w:val="nothing"/>
      <w:lvlText w:val="%1.%2.%3."/>
      <w:lvlJc w:val="left"/>
      <w:pPr>
        <w:ind w:left="852" w:hanging="284"/>
      </w:pPr>
      <w:rPr>
        <w:rFonts w:ascii="微软雅黑" w:eastAsia="微软雅黑" w:hAnsi="微软雅黑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3">
      <w:start w:val="1"/>
      <w:numFmt w:val="decimal"/>
      <w:pStyle w:val="HUB4"/>
      <w:suff w:val="nothing"/>
      <w:lvlText w:val="%1.%2.%3.%4."/>
      <w:lvlJc w:val="left"/>
      <w:pPr>
        <w:ind w:left="1703" w:hanging="993"/>
      </w:pPr>
      <w:rPr>
        <w:rFonts w:ascii="微软雅黑" w:eastAsia="微软雅黑" w:hAnsi="微软雅黑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</w:rPr>
    </w:lvl>
    <w:lvl w:ilvl="4">
      <w:start w:val="1"/>
      <w:numFmt w:val="decimal"/>
      <w:pStyle w:val="HUB5"/>
      <w:lvlText w:val="%1.%2.%3.%4.%5."/>
      <w:lvlJc w:val="left"/>
      <w:pPr>
        <w:ind w:left="28" w:hanging="28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har0"/>
    <w:qFormat/>
    <w:pPr>
      <w:jc w:val="left"/>
    </w:p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List">
    <w:name w:val="List"/>
    <w:basedOn w:val="Normal"/>
    <w:uiPriority w:val="99"/>
    <w:semiHidden/>
    <w:unhideWhenUsed/>
    <w:qFormat/>
    <w:pPr>
      <w:ind w:left="200" w:hanging="200" w:hangingChars="200"/>
      <w:contextualSpacing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B1">
    <w:name w:val="HUB_1"/>
    <w:link w:val="HUB10"/>
    <w:qFormat/>
    <w:pPr>
      <w:numPr>
        <w:numId w:val="1"/>
      </w:numPr>
      <w:spacing w:before="120" w:after="120"/>
      <w:outlineLvl w:val="0"/>
    </w:pPr>
    <w:rPr>
      <w:rFonts w:ascii="宋体" w:eastAsia="微软雅黑" w:hAnsi="宋体"/>
      <w:b/>
      <w:bCs/>
      <w:kern w:val="44"/>
      <w:sz w:val="28"/>
      <w:szCs w:val="28"/>
    </w:rPr>
  </w:style>
  <w:style w:type="character" w:customStyle="1" w:styleId="HUB10">
    <w:name w:val="HUB_1 字符"/>
    <w:basedOn w:val="DefaultParagraphFont"/>
    <w:link w:val="HUB1"/>
    <w:qFormat/>
    <w:rPr>
      <w:rFonts w:ascii="宋体" w:eastAsia="微软雅黑" w:hAnsi="宋体"/>
      <w:b/>
      <w:bCs/>
      <w:kern w:val="44"/>
      <w:sz w:val="28"/>
      <w:szCs w:val="28"/>
    </w:rPr>
  </w:style>
  <w:style w:type="paragraph" w:customStyle="1" w:styleId="HUB2">
    <w:name w:val="HUB_2"/>
    <w:link w:val="HUB20"/>
    <w:qFormat/>
    <w:pPr>
      <w:numPr>
        <w:ilvl w:val="1"/>
        <w:numId w:val="1"/>
      </w:numPr>
      <w:spacing w:before="120" w:after="120"/>
      <w:outlineLvl w:val="1"/>
    </w:pPr>
    <w:rPr>
      <w:rFonts w:ascii="宋体" w:eastAsia="微软雅黑" w:hAnsi="宋体" w:cstheme="majorBidi"/>
      <w:b/>
      <w:bCs/>
      <w:kern w:val="2"/>
      <w:sz w:val="28"/>
      <w:szCs w:val="28"/>
    </w:rPr>
  </w:style>
  <w:style w:type="character" w:customStyle="1" w:styleId="HUB20">
    <w:name w:val="HUB_2 字符"/>
    <w:basedOn w:val="DefaultParagraphFont"/>
    <w:link w:val="HUB2"/>
    <w:qFormat/>
    <w:rPr>
      <w:rFonts w:ascii="宋体" w:eastAsia="微软雅黑" w:hAnsi="宋体" w:cstheme="majorBidi"/>
      <w:b/>
      <w:bCs/>
      <w:sz w:val="28"/>
      <w:szCs w:val="28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HUB3">
    <w:name w:val="HUB_3"/>
    <w:qFormat/>
    <w:pPr>
      <w:numPr>
        <w:ilvl w:val="2"/>
        <w:numId w:val="1"/>
      </w:numPr>
      <w:spacing w:before="120" w:after="120"/>
      <w:outlineLvl w:val="2"/>
    </w:pPr>
    <w:rPr>
      <w:rFonts w:ascii="宋体" w:eastAsia="微软雅黑" w:hAnsi="宋体" w:cstheme="majorBidi"/>
      <w:b/>
      <w:bCs/>
      <w:kern w:val="2"/>
      <w:sz w:val="28"/>
      <w:szCs w:val="28"/>
    </w:rPr>
  </w:style>
  <w:style w:type="paragraph" w:customStyle="1" w:styleId="HUB4">
    <w:name w:val="HUB_4"/>
    <w:link w:val="HUB40"/>
    <w:qFormat/>
    <w:pPr>
      <w:keepNext/>
      <w:keepLines/>
      <w:numPr>
        <w:ilvl w:val="3"/>
        <w:numId w:val="1"/>
      </w:numPr>
      <w:spacing w:before="120" w:after="120"/>
      <w:outlineLvl w:val="3"/>
    </w:pPr>
    <w:rPr>
      <w:rFonts w:ascii="宋体" w:eastAsia="微软雅黑" w:hAnsi="宋体"/>
      <w:b/>
      <w:bCs/>
      <w:kern w:val="2"/>
      <w:sz w:val="28"/>
      <w:szCs w:val="2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UB40">
    <w:name w:val="HUB_4 字符"/>
    <w:basedOn w:val="DefaultParagraphFont"/>
    <w:link w:val="HUB4"/>
    <w:qFormat/>
    <w:rPr>
      <w:rFonts w:ascii="宋体" w:eastAsia="微软雅黑" w:hAnsi="宋体"/>
      <w:b/>
      <w:bCs/>
      <w:sz w:val="28"/>
      <w:szCs w:val="28"/>
    </w:rPr>
  </w:style>
  <w:style w:type="paragraph" w:customStyle="1" w:styleId="HUB5">
    <w:name w:val="HUB_5"/>
    <w:link w:val="HUB50"/>
    <w:qFormat/>
    <w:pPr>
      <w:numPr>
        <w:ilvl w:val="4"/>
        <w:numId w:val="1"/>
      </w:numPr>
      <w:spacing w:before="120" w:after="120"/>
      <w:outlineLvl w:val="4"/>
    </w:pPr>
    <w:rPr>
      <w:rFonts w:ascii="宋体" w:eastAsia="宋体" w:hAnsi="宋体"/>
      <w:b/>
      <w:bCs/>
      <w:kern w:val="2"/>
      <w:sz w:val="28"/>
      <w:szCs w:val="28"/>
    </w:rPr>
  </w:style>
  <w:style w:type="character" w:customStyle="1" w:styleId="3Char">
    <w:name w:val="标题 3 Char"/>
    <w:basedOn w:val="DefaultParagraphFont"/>
    <w:link w:val="Heading3"/>
    <w:uiPriority w:val="9"/>
    <w:qFormat/>
    <w:rPr>
      <w:b/>
      <w:bCs/>
      <w:sz w:val="32"/>
      <w:szCs w:val="32"/>
    </w:rPr>
  </w:style>
  <w:style w:type="character" w:customStyle="1" w:styleId="HUB50">
    <w:name w:val="HUB_5 字符"/>
    <w:basedOn w:val="HUB40"/>
    <w:link w:val="HUB5"/>
    <w:qFormat/>
    <w:rPr>
      <w:rFonts w:ascii="宋体" w:eastAsia="宋体" w:hAnsi="宋体"/>
      <w:b/>
      <w:bCs/>
      <w:sz w:val="28"/>
      <w:szCs w:val="28"/>
    </w:rPr>
  </w:style>
  <w:style w:type="paragraph" w:customStyle="1" w:styleId="HUB5B">
    <w:name w:val="HUB_5B"/>
    <w:basedOn w:val="Subtitle"/>
    <w:link w:val="HUB5B0"/>
    <w:qFormat/>
    <w:pPr>
      <w:spacing w:before="0" w:after="120" w:line="240" w:lineRule="auto"/>
      <w:ind w:left="284"/>
      <w:jc w:val="left"/>
      <w:outlineLvl w:val="5"/>
    </w:pPr>
    <w:rPr>
      <w:rFonts w:ascii="宋体" w:eastAsia="微软雅黑" w:hAnsi="宋体"/>
      <w:color w:val="404040" w:themeColor="text1" w:themeTint="BF"/>
      <w:sz w:val="24"/>
      <w:szCs w:val="28"/>
    </w:rPr>
  </w:style>
  <w:style w:type="character" w:customStyle="1" w:styleId="HUB5B0">
    <w:name w:val="HUB_5B 字符"/>
    <w:basedOn w:val="DefaultParagraphFont"/>
    <w:link w:val="HUB5B"/>
    <w:qFormat/>
    <w:rPr>
      <w:rFonts w:ascii="宋体" w:eastAsia="微软雅黑" w:hAnsi="宋体"/>
      <w:b/>
      <w:bCs/>
      <w:color w:val="404040" w:themeColor="text1" w:themeTint="BF"/>
      <w:kern w:val="28"/>
      <w:sz w:val="24"/>
      <w:szCs w:val="28"/>
    </w:rPr>
  </w:style>
  <w:style w:type="paragraph" w:customStyle="1" w:styleId="HUB11">
    <w:name w:val="HUB_编号_1"/>
    <w:basedOn w:val="List"/>
    <w:link w:val="HUB12"/>
    <w:qFormat/>
    <w:pPr>
      <w:numPr>
        <w:numId w:val="2"/>
      </w:numPr>
      <w:adjustRightInd w:val="0"/>
      <w:spacing w:after="120" w:line="360" w:lineRule="auto"/>
      <w:ind w:firstLineChars="0"/>
      <w:jc w:val="left"/>
    </w:pPr>
    <w:rPr>
      <w:rFonts w:ascii="宋体" w:eastAsia="微软雅黑" w:hAnsi="宋体"/>
      <w:sz w:val="24"/>
      <w:szCs w:val="28"/>
    </w:rPr>
  </w:style>
  <w:style w:type="character" w:customStyle="1" w:styleId="HUB12">
    <w:name w:val="HUB_编号_1 字符"/>
    <w:basedOn w:val="DefaultParagraphFont"/>
    <w:link w:val="HUB11"/>
    <w:qFormat/>
    <w:rPr>
      <w:rFonts w:ascii="宋体" w:eastAsia="微软雅黑" w:hAnsi="宋体"/>
      <w:sz w:val="24"/>
      <w:szCs w:val="28"/>
    </w:rPr>
  </w:style>
  <w:style w:type="paragraph" w:customStyle="1" w:styleId="HUB13">
    <w:name w:val="HUB_编号_1)"/>
    <w:link w:val="HUB14"/>
    <w:qFormat/>
    <w:pPr>
      <w:numPr>
        <w:numId w:val="3"/>
      </w:numPr>
    </w:pPr>
    <w:rPr>
      <w:rFonts w:ascii="宋体" w:eastAsia="微软雅黑" w:hAnsi="宋体"/>
      <w:kern w:val="2"/>
      <w:sz w:val="24"/>
      <w:szCs w:val="28"/>
    </w:rPr>
  </w:style>
  <w:style w:type="character" w:customStyle="1" w:styleId="Char">
    <w:name w:val="副标题 Char"/>
    <w:basedOn w:val="DefaultParagraphFont"/>
    <w:link w:val="Subtitle"/>
    <w:uiPriority w:val="11"/>
    <w:qFormat/>
    <w:rPr>
      <w:b/>
      <w:bCs/>
      <w:kern w:val="28"/>
      <w:sz w:val="32"/>
      <w:szCs w:val="32"/>
    </w:rPr>
  </w:style>
  <w:style w:type="character" w:customStyle="1" w:styleId="HUB14">
    <w:name w:val="HUB_编号_1) 字符"/>
    <w:basedOn w:val="HUB12"/>
    <w:link w:val="HUB13"/>
    <w:qFormat/>
    <w:rPr>
      <w:rFonts w:ascii="宋体" w:eastAsia="微软雅黑" w:hAnsi="宋体"/>
      <w:sz w:val="24"/>
      <w:szCs w:val="28"/>
    </w:rPr>
  </w:style>
  <w:style w:type="paragraph" w:customStyle="1" w:styleId="HUBa">
    <w:name w:val="HUB_编号_a)"/>
    <w:qFormat/>
    <w:pPr>
      <w:numPr>
        <w:numId w:val="4"/>
      </w:numPr>
      <w:spacing w:before="50" w:after="50" w:line="360" w:lineRule="auto"/>
    </w:pPr>
    <w:rPr>
      <w:rFonts w:ascii="微软雅黑" w:eastAsia="微软雅黑" w:hAnsi="微软雅黑" w:cs="Times New Roman"/>
      <w:kern w:val="2"/>
      <w:sz w:val="24"/>
      <w:szCs w:val="21"/>
    </w:rPr>
  </w:style>
  <w:style w:type="paragraph" w:customStyle="1" w:styleId="HUB">
    <w:name w:val="HUB_表格"/>
    <w:basedOn w:val="Normal"/>
    <w:link w:val="HUB0"/>
    <w:qFormat/>
    <w:rPr>
      <w:rFonts w:ascii="微软雅黑" w:eastAsia="微软雅黑" w:hAnsi="微软雅黑" w:cs="Times New Roman"/>
      <w:color w:val="000000"/>
      <w:sz w:val="18"/>
    </w:rPr>
  </w:style>
  <w:style w:type="character" w:customStyle="1" w:styleId="HUB0">
    <w:name w:val="HUB_表格 字符"/>
    <w:basedOn w:val="DefaultParagraphFont"/>
    <w:link w:val="HUB"/>
    <w:qFormat/>
    <w:rPr>
      <w:rFonts w:ascii="微软雅黑" w:eastAsia="微软雅黑" w:hAnsi="微软雅黑" w:cs="Times New Roman"/>
      <w:color w:val="000000"/>
      <w:sz w:val="18"/>
    </w:rPr>
  </w:style>
  <w:style w:type="paragraph" w:customStyle="1" w:styleId="HUB6">
    <w:name w:val="HUB_图片"/>
    <w:basedOn w:val="Normal"/>
    <w:link w:val="HUB7"/>
    <w:qFormat/>
    <w:pPr>
      <w:spacing w:before="100" w:beforeAutospacing="1" w:after="100" w:afterAutospacing="1"/>
    </w:pPr>
    <w:rPr>
      <w:rFonts w:ascii="微软雅黑" w:eastAsia="微软雅黑" w:hAnsi="微软雅黑" w:cs="Times New Roman"/>
    </w:rPr>
  </w:style>
  <w:style w:type="character" w:customStyle="1" w:styleId="HUB7">
    <w:name w:val="HUB_图片 字符"/>
    <w:basedOn w:val="DefaultParagraphFont"/>
    <w:link w:val="HUB6"/>
    <w:qFormat/>
    <w:rPr>
      <w:rFonts w:ascii="微软雅黑" w:eastAsia="微软雅黑" w:hAnsi="微软雅黑" w:cs="Times New Roman"/>
    </w:rPr>
  </w:style>
  <w:style w:type="paragraph" w:customStyle="1" w:styleId="HUB8">
    <w:name w:val="HUB_页眉"/>
    <w:link w:val="HUB9"/>
    <w:qFormat/>
    <w:rPr>
      <w:kern w:val="2"/>
      <w:sz w:val="21"/>
      <w:szCs w:val="22"/>
    </w:rPr>
  </w:style>
  <w:style w:type="character" w:customStyle="1" w:styleId="HUB9">
    <w:name w:val="HUB_页眉 字符"/>
    <w:basedOn w:val="DefaultParagraphFont"/>
    <w:link w:val="HUB8"/>
    <w:qFormat/>
  </w:style>
  <w:style w:type="paragraph" w:customStyle="1" w:styleId="HUB15">
    <w:name w:val="HUB_正文"/>
    <w:basedOn w:val="Normal"/>
    <w:link w:val="HUB16"/>
    <w:qFormat/>
    <w:pPr>
      <w:spacing w:line="360" w:lineRule="auto"/>
      <w:ind w:left="318" w:firstLine="238"/>
      <w:jc w:val="left"/>
    </w:pPr>
    <w:rPr>
      <w:rFonts w:ascii="Cambria Math" w:eastAsia="微软雅黑" w:hAnsi="Cambria Math" w:cs="Times New Roman"/>
      <w:color w:val="000000"/>
      <w:kern w:val="0"/>
      <w:sz w:val="24"/>
      <w:szCs w:val="20"/>
    </w:rPr>
  </w:style>
  <w:style w:type="character" w:customStyle="1" w:styleId="HUB16">
    <w:name w:val="HUB_正文 字符"/>
    <w:link w:val="HUB15"/>
    <w:qFormat/>
    <w:rPr>
      <w:rFonts w:ascii="Cambria Math" w:eastAsia="微软雅黑" w:hAnsi="Cambria Math" w:cs="Times New Roman"/>
      <w:color w:val="000000"/>
      <w:kern w:val="0"/>
      <w:sz w:val="24"/>
      <w:szCs w:val="20"/>
    </w:rPr>
  </w:style>
  <w:style w:type="character" w:customStyle="1" w:styleId="Char0">
    <w:name w:val="批注文字 Char"/>
    <w:basedOn w:val="DefaultParagraphFont"/>
    <w:link w:val="CommentText"/>
    <w:qFormat/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3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4">
    <w:name w:val="批注主题 Char"/>
    <w:basedOn w:val="Char0"/>
    <w:link w:val="CommentSubject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yafei</dc:creator>
  <cp:lastModifiedBy>Windows User</cp:lastModifiedBy>
  <cp:revision>5</cp:revision>
  <dcterms:created xsi:type="dcterms:W3CDTF">2021-12-23T11:36:00Z</dcterms:created>
  <dcterms:modified xsi:type="dcterms:W3CDTF">2021-12-30T06:19:00Z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