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8.0.0 -->
  <w:body>
    <w:p w:rsidR="006C2415" w:rsidRPr="00802BD3">
      <w:pPr>
        <w:widowControl/>
        <w:shd w:val="clear" w:color="auto" w:fill="FFFFFF"/>
        <w:spacing w:after="225"/>
        <w:jc w:val="center"/>
        <w:outlineLvl w:val="0"/>
        <w:rPr>
          <w:rFonts w:ascii="宋体" w:eastAsia="宋体" w:hAnsi="宋体" w:cs="宋体"/>
          <w:b/>
          <w:bCs/>
          <w:kern w:val="36"/>
          <w:sz w:val="28"/>
          <w:szCs w:val="28"/>
        </w:rPr>
      </w:pPr>
      <w:r w:rsidRPr="00802BD3">
        <w:rPr>
          <w:rFonts w:ascii="宋体" w:eastAsia="宋体" w:hAnsi="宋体" w:cs="宋体" w:hint="eastAsia"/>
          <w:b/>
          <w:bCs/>
          <w:kern w:val="36"/>
          <w:sz w:val="28"/>
          <w:szCs w:val="28"/>
        </w:rPr>
        <w:t>理财产品非标准化债权类资产投资公告</w:t>
      </w:r>
    </w:p>
    <w:p w:rsidR="006C2415" w:rsidRPr="00802BD3">
      <w:pPr>
        <w:spacing w:line="360" w:lineRule="auto"/>
        <w:rPr>
          <w:rFonts w:ascii="宋体" w:eastAsia="宋体" w:hAnsi="宋体" w:cs="宋体"/>
          <w:szCs w:val="21"/>
        </w:rPr>
      </w:pPr>
      <w:r w:rsidRPr="00802BD3">
        <w:rPr>
          <w:rFonts w:ascii="宋体" w:eastAsia="宋体" w:hAnsi="宋体" w:cs="宋体" w:hint="eastAsia"/>
          <w:szCs w:val="21"/>
        </w:rPr>
        <w:t>尊敬的客户：</w:t>
      </w:r>
    </w:p>
    <w:p w:rsidR="006C2415" w:rsidRPr="00802BD3">
      <w:pPr>
        <w:spacing w:line="360" w:lineRule="auto"/>
        <w:ind w:firstLine="420" w:firstLineChars="200"/>
        <w:rPr>
          <w:rFonts w:ascii="宋体" w:eastAsia="宋体" w:hAnsi="宋体" w:cs="宋体"/>
          <w:szCs w:val="21"/>
        </w:rPr>
      </w:pPr>
      <w:r w:rsidRPr="00802BD3">
        <w:rPr>
          <w:rFonts w:ascii="宋体" w:eastAsia="宋体" w:hAnsi="宋体" w:cs="宋体" w:hint="eastAsia"/>
          <w:szCs w:val="21"/>
        </w:rPr>
        <w:t>根据产品说明书约定，现对理财产品非标准化债权类资产投资情况披露如下：</w:t>
      </w:r>
    </w:p>
    <w:p w:rsidR="006C2415" w:rsidRPr="00802BD3">
      <w:pPr>
        <w:spacing w:line="360" w:lineRule="auto"/>
        <w:ind w:firstLine="420" w:firstLineChars="200"/>
        <w:rPr>
          <w:rFonts w:ascii="宋体" w:eastAsia="宋体" w:hAnsi="宋体" w:cs="宋体"/>
          <w:szCs w:val="21"/>
        </w:rPr>
      </w:pPr>
      <w:r w:rsidRPr="00802BD3">
        <w:rPr>
          <w:rFonts w:ascii="宋体" w:eastAsia="宋体" w:hAnsi="宋体" w:cs="宋体" w:hint="eastAsia"/>
          <w:szCs w:val="21"/>
        </w:rPr>
        <w:t>理财产品基本信息：</w:t>
      </w:r>
    </w:p>
    <w:tbl>
      <w:tblPr>
        <w:tblStyle w:val="TableGrid"/>
        <w:tblW w:w="8300" w:type="dxa"/>
        <w:tblLayout w:type="fixed"/>
        <w:tblLook w:val="04A0"/>
      </w:tblPr>
      <w:tblGrid>
        <w:gridCol w:w="1247"/>
        <w:gridCol w:w="4445"/>
        <w:gridCol w:w="1304"/>
        <w:gridCol w:w="1304"/>
      </w:tblGrid>
      <w:tr w:rsidTr="00BA7D6F">
        <w:tblPrEx>
          <w:tblW w:w="8300" w:type="dxa"/>
          <w:tblLayout w:type="fixed"/>
          <w:tblLook w:val="04A0"/>
        </w:tblPrEx>
        <w:tc>
          <w:tcPr>
            <w:tcW w:w="1247" w:type="dxa"/>
          </w:tcPr>
          <w:p w:rsidR="006C2415" w:rsidRPr="00802BD3">
            <w:pPr>
              <w:jc w:val="center"/>
              <w:rPr>
                <w:szCs w:val="21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产品代码</w:t>
            </w:r>
          </w:p>
        </w:tc>
        <w:tc>
          <w:tcPr>
            <w:tcW w:w="4445" w:type="dxa"/>
          </w:tcPr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产品名称</w:t>
            </w:r>
          </w:p>
        </w:tc>
        <w:tc>
          <w:tcPr>
            <w:tcW w:w="1304" w:type="dxa"/>
          </w:tcPr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产品成立日</w:t>
            </w:r>
          </w:p>
        </w:tc>
        <w:tc>
          <w:tcPr>
            <w:tcW w:w="1304" w:type="dxa"/>
          </w:tcPr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产品到期日</w:t>
            </w:r>
          </w:p>
        </w:tc>
      </w:tr>
      <w:tr w:rsidTr="00BA7D6F">
        <w:tblPrEx>
          <w:tblW w:w="8300" w:type="dxa"/>
          <w:tblLayout w:type="fixed"/>
          <w:tblLook w:val="04A0"/>
        </w:tblPrEx>
        <w:tc>
          <w:tcPr>
            <w:tcW w:w="1247" w:type="dxa"/>
            <w:vAlign w:val="center"/>
          </w:tcPr>
          <w:p w:rsidR="006C2415" w:rsidRPr="00802BD3">
            <w:pPr>
              <w:jc w:val="center"/>
              <w:rPr>
                <w:szCs w:val="21"/>
              </w:rPr>
            </w:pPr>
            <w:r w:rsidRPr="00802BD3">
              <w:rPr>
                <w:rFonts w:ascii="宋体" w:hAnsi="宋体" w:cs="宋体" w:hint="eastAsia"/>
                <w:kern w:val="0"/>
                <w:szCs w:val="21"/>
              </w:rPr>
              <w:t>XAL22071</w:t>
            </w:r>
          </w:p>
        </w:tc>
        <w:tc>
          <w:tcPr>
            <w:tcW w:w="4445" w:type="dxa"/>
          </w:tcPr>
          <w:p w:rsidR="006C2415" w:rsidRPr="00802BD3">
            <w:pPr>
              <w:jc w:val="center"/>
              <w:rPr>
                <w:rFonts w:ascii="宋体" w:hAnsi="宋体" w:cs="宋体"/>
                <w:bCs/>
                <w:i/>
                <w:iCs/>
                <w:color w:val="FF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kern w:val="0"/>
                <w:szCs w:val="21"/>
              </w:rPr>
              <w:t>“鑫利”系列鑫安利22071期人民币理财产品</w:t>
            </w:r>
          </w:p>
        </w:tc>
        <w:tc>
          <w:tcPr>
            <w:tcW w:w="1304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i/>
                <w:iCs/>
                <w:color w:val="FF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kern w:val="0"/>
                <w:szCs w:val="21"/>
              </w:rPr>
              <w:t>2022-02-23</w:t>
            </w:r>
          </w:p>
        </w:tc>
        <w:tc>
          <w:tcPr>
            <w:tcW w:w="1304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i/>
                <w:iCs/>
                <w:color w:val="FF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kern w:val="0"/>
                <w:szCs w:val="21"/>
              </w:rPr>
              <w:t>2025-03-26</w:t>
            </w:r>
          </w:p>
        </w:tc>
      </w:tr>
    </w:tbl>
    <w:p w:rsidR="006C2415" w:rsidRPr="00802BD3">
      <w:pPr>
        <w:spacing w:line="360" w:lineRule="auto"/>
        <w:rPr>
          <w:rFonts w:ascii="宋体" w:eastAsia="宋体" w:hAnsi="宋体" w:cs="宋体"/>
          <w:b/>
          <w:color w:val="000000"/>
          <w:kern w:val="0"/>
          <w:szCs w:val="21"/>
          <w:lang w:bidi="ar"/>
        </w:rPr>
      </w:pPr>
    </w:p>
    <w:p w:rsidR="006C2415" w:rsidRPr="00802BD3">
      <w:pPr>
        <w:spacing w:line="360" w:lineRule="auto"/>
        <w:ind w:firstLine="420" w:firstLineChars="200"/>
        <w:rPr>
          <w:rFonts w:ascii="宋体" w:eastAsia="宋体" w:hAnsi="宋体" w:cs="宋体"/>
          <w:szCs w:val="21"/>
        </w:rPr>
      </w:pPr>
      <w:r w:rsidRPr="00802BD3">
        <w:rPr>
          <w:rFonts w:ascii="宋体" w:eastAsia="宋体" w:hAnsi="宋体" w:cs="宋体" w:hint="eastAsia"/>
          <w:szCs w:val="21"/>
        </w:rPr>
        <w:t>非标准化债权类资产投资情况：</w:t>
      </w:r>
    </w:p>
    <w:tbl>
      <w:tblPr>
        <w:tblStyle w:val="TableGrid"/>
        <w:tblCaption w:val="表格样式"/>
        <w:tblDescription w:val=" &#10;编号               0.8&#10;交易日期 2.4&#10;融资客户  2.42&#10;项目名称  2.42&#10;剩余融资期限 1.8&#10;到期收益分配 1.8&#10;交易                 1.8&#10;风险状况  1.2&#10;"/>
        <w:tblW w:w="8299" w:type="dxa"/>
        <w:tblLayout w:type="fixed"/>
        <w:tblLook w:val="04A0"/>
      </w:tblPr>
      <w:tblGrid>
        <w:gridCol w:w="454"/>
        <w:gridCol w:w="1361"/>
        <w:gridCol w:w="1372"/>
        <w:gridCol w:w="1485"/>
        <w:gridCol w:w="907"/>
        <w:gridCol w:w="1020"/>
        <w:gridCol w:w="1020"/>
        <w:gridCol w:w="680"/>
      </w:tblGrid>
      <w:tr w:rsidTr="00ED2B54">
        <w:tblPrEx>
          <w:tblW w:w="8299" w:type="dxa"/>
          <w:tblLayout w:type="fixed"/>
          <w:tblLook w:val="04A0"/>
        </w:tblPrEx>
        <w:tc>
          <w:tcPr>
            <w:tcW w:w="454" w:type="dxa"/>
            <w:vAlign w:val="center"/>
          </w:tcPr>
          <w:p w:rsidR="006C2415" w:rsidRPr="00802BD3" w:rsidP="0045346A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编号</w:t>
            </w:r>
          </w:p>
        </w:tc>
        <w:tc>
          <w:tcPr>
            <w:tcW w:w="1361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交易日期</w:t>
            </w:r>
          </w:p>
        </w:tc>
        <w:tc>
          <w:tcPr>
            <w:tcW w:w="1372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融资客户</w:t>
            </w:r>
          </w:p>
        </w:tc>
        <w:tc>
          <w:tcPr>
            <w:tcW w:w="1485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907" w:type="dxa"/>
            <w:vAlign w:val="center"/>
          </w:tcPr>
          <w:p w:rsidR="0045346A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剩余融</w:t>
            </w:r>
          </w:p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资期限（天）</w:t>
            </w:r>
          </w:p>
        </w:tc>
        <w:tc>
          <w:tcPr>
            <w:tcW w:w="1020" w:type="dxa"/>
            <w:vAlign w:val="center"/>
          </w:tcPr>
          <w:p w:rsidR="00C13681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到期</w:t>
            </w:r>
            <w:bookmarkStart w:id="0" w:name="_GoBack"/>
            <w:bookmarkEnd w:id="0"/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收</w:t>
            </w:r>
          </w:p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益分配</w:t>
            </w:r>
          </w:p>
        </w:tc>
        <w:tc>
          <w:tcPr>
            <w:tcW w:w="1020" w:type="dxa"/>
            <w:vAlign w:val="center"/>
          </w:tcPr>
          <w:p w:rsidR="00C13681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交易</w:t>
            </w:r>
          </w:p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结构</w:t>
            </w:r>
          </w:p>
        </w:tc>
        <w:tc>
          <w:tcPr>
            <w:tcW w:w="680" w:type="dxa"/>
            <w:vAlign w:val="center"/>
          </w:tcPr>
          <w:p w:rsidR="0083363B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风险</w:t>
            </w:r>
          </w:p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状况</w:t>
            </w:r>
          </w:p>
        </w:tc>
      </w:tr>
      <w:tr w:rsidTr="00ED2B54">
        <w:tblPrEx>
          <w:tblW w:w="8299" w:type="dxa"/>
          <w:tblLayout w:type="fixed"/>
          <w:tblLook w:val="04A0"/>
        </w:tblPrEx>
        <w:tc>
          <w:tcPr>
            <w:tcW w:w="454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61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i/>
                <w:iCs/>
                <w:color w:val="FF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2023-03-29</w:t>
            </w:r>
          </w:p>
        </w:tc>
        <w:tc>
          <w:tcPr>
            <w:tcW w:w="1372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"https://www.baidu.com/link?url=AL-dAqq6ERNW65rfgQUjGKR-G42pSaHWZvyATJt502pa_9L4nUFfTInVA8eda9sO&amp;wd=&amp;eqid=d851820d00035c9300000004612759a3" \t "_blank" </w:instrText>
            </w:r>
            <w:r>
              <w:fldChar w:fldCharType="separate"/>
            </w:r>
            <w:r w:rsidRPr="00802BD3" w:rsidR="00C14F08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度小满金融消费贷及经营贷借款客户</w:t>
            </w:r>
            <w:r>
              <w:fldChar w:fldCharType="end"/>
            </w:r>
          </w:p>
        </w:tc>
        <w:tc>
          <w:tcPr>
            <w:tcW w:w="1485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i/>
                <w:iCs/>
                <w:color w:val="FF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北方信托·嘉享3号单一资金信托</w:t>
            </w:r>
          </w:p>
        </w:tc>
        <w:tc>
          <w:tcPr>
            <w:tcW w:w="907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i/>
                <w:iCs/>
                <w:color w:val="FF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726</w:t>
            </w:r>
          </w:p>
        </w:tc>
        <w:tc>
          <w:tcPr>
            <w:tcW w:w="1020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按实际持有本金分配收益</w:t>
            </w:r>
          </w:p>
        </w:tc>
        <w:tc>
          <w:tcPr>
            <w:tcW w:w="1020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非标准化债权类资产</w:t>
            </w:r>
          </w:p>
        </w:tc>
        <w:tc>
          <w:tcPr>
            <w:tcW w:w="680" w:type="dxa"/>
            <w:vAlign w:val="center"/>
          </w:tcPr>
          <w:p w:rsidR="006C2415" w:rsidRPr="00802BD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 w:rsidRPr="00802BD3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正常</w:t>
            </w:r>
          </w:p>
        </w:tc>
      </w:tr>
    </w:tbl>
    <w:p w:rsidR="006C2415" w:rsidRPr="00802BD3">
      <w:pPr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</w:p>
    <w:p w:rsidR="006C2415" w:rsidRPr="00802BD3">
      <w:pPr>
        <w:jc w:val="center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</w:p>
    <w:p w:rsidR="006C2415" w:rsidRPr="00802BD3">
      <w:pPr>
        <w:jc w:val="center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</w:p>
    <w:p w:rsidR="006C2415" w:rsidRPr="00802BD3">
      <w:pPr>
        <w:widowControl/>
        <w:shd w:val="clear" w:color="auto" w:fill="FFFFFF"/>
        <w:spacing w:before="150" w:after="150" w:line="360" w:lineRule="auto"/>
        <w:ind w:firstLine="480"/>
        <w:jc w:val="right"/>
        <w:rPr>
          <w:rFonts w:ascii="宋体" w:eastAsia="宋体" w:hAnsi="宋体" w:cs="宋体"/>
          <w:kern w:val="0"/>
          <w:szCs w:val="21"/>
        </w:rPr>
      </w:pPr>
      <w:r w:rsidRPr="00802BD3">
        <w:rPr>
          <w:rFonts w:ascii="宋体" w:eastAsia="宋体" w:hAnsi="宋体" w:cs="宋体" w:hint="eastAsia"/>
          <w:kern w:val="0"/>
          <w:szCs w:val="21"/>
        </w:rPr>
        <w:t>上海农村商业银行股份有限公司</w:t>
      </w:r>
    </w:p>
    <w:p w:rsidR="006C2415">
      <w:pPr>
        <w:jc w:val="right"/>
        <w:rPr>
          <w:rFonts w:ascii="宋体" w:eastAsia="宋体" w:hAnsi="宋体" w:cs="宋体"/>
        </w:rPr>
      </w:pPr>
      <w:r w:rsidRPr="00802BD3">
        <w:rPr>
          <w:rFonts w:ascii="宋体" w:eastAsia="宋体" w:hAnsi="宋体" w:cs="宋体" w:hint="eastAsia"/>
          <w:szCs w:val="21"/>
        </w:rPr>
        <w:t>2023年03月30日</w:t>
      </w:r>
    </w:p>
    <w:p w:rsidR="006C2415">
      <w:pPr>
        <w:jc w:val="center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</w:p>
    <w:p w:rsidR="006C2415">
      <w:pPr>
        <w:rPr>
          <w:rFonts w:ascii="宋体" w:eastAsia="宋体" w:hAnsi="宋体" w:cs="宋体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2F7745"/>
    <w:multiLevelType w:val="multilevel"/>
    <w:tmpl w:val="022F7745"/>
    <w:lvl w:ilvl="0">
      <w:start w:val="1"/>
      <w:numFmt w:val="decimal"/>
      <w:pStyle w:val="HUB11"/>
      <w:suff w:val="nothing"/>
      <w:lvlText w:val="%1、"/>
      <w:lvlJc w:val="left"/>
      <w:pPr>
        <w:ind w:left="568" w:firstLine="0"/>
      </w:pPr>
      <w:rPr>
        <w:rFonts w:ascii="微软雅黑" w:eastAsia="微软雅黑" w:hAnsi="微软雅黑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984" w:hanging="420"/>
      </w:pPr>
    </w:lvl>
    <w:lvl w:ilvl="2">
      <w:start w:val="1"/>
      <w:numFmt w:val="lowerRoman"/>
      <w:lvlText w:val="%3."/>
      <w:lvlJc w:val="right"/>
      <w:pPr>
        <w:ind w:left="1404" w:hanging="420"/>
      </w:pPr>
    </w:lvl>
    <w:lvl w:ilvl="3">
      <w:start w:val="1"/>
      <w:numFmt w:val="decimal"/>
      <w:lvlText w:val="%4."/>
      <w:lvlJc w:val="left"/>
      <w:pPr>
        <w:ind w:left="1824" w:hanging="420"/>
      </w:pPr>
    </w:lvl>
    <w:lvl w:ilvl="4">
      <w:start w:val="1"/>
      <w:numFmt w:val="lowerLetter"/>
      <w:lvlText w:val="%5)"/>
      <w:lvlJc w:val="left"/>
      <w:pPr>
        <w:ind w:left="2244" w:hanging="420"/>
      </w:pPr>
    </w:lvl>
    <w:lvl w:ilvl="5">
      <w:start w:val="1"/>
      <w:numFmt w:val="lowerRoman"/>
      <w:lvlText w:val="%6."/>
      <w:lvlJc w:val="right"/>
      <w:pPr>
        <w:ind w:left="2664" w:hanging="420"/>
      </w:pPr>
    </w:lvl>
    <w:lvl w:ilvl="6">
      <w:start w:val="1"/>
      <w:numFmt w:val="decimal"/>
      <w:lvlText w:val="%7."/>
      <w:lvlJc w:val="left"/>
      <w:pPr>
        <w:ind w:left="3084" w:hanging="420"/>
      </w:pPr>
    </w:lvl>
    <w:lvl w:ilvl="7">
      <w:start w:val="1"/>
      <w:numFmt w:val="lowerLetter"/>
      <w:lvlText w:val="%8)"/>
      <w:lvlJc w:val="left"/>
      <w:pPr>
        <w:ind w:left="3504" w:hanging="420"/>
      </w:pPr>
    </w:lvl>
    <w:lvl w:ilvl="8">
      <w:start w:val="1"/>
      <w:numFmt w:val="lowerRoman"/>
      <w:lvlText w:val="%9."/>
      <w:lvlJc w:val="right"/>
      <w:pPr>
        <w:ind w:left="3924" w:hanging="420"/>
      </w:pPr>
    </w:lvl>
  </w:abstractNum>
  <w:abstractNum w:abstractNumId="1">
    <w:nsid w:val="23B7562F"/>
    <w:multiLevelType w:val="multilevel"/>
    <w:tmpl w:val="23B7562F"/>
    <w:lvl w:ilvl="0">
      <w:start w:val="1"/>
      <w:numFmt w:val="decimal"/>
      <w:pStyle w:val="HUB13"/>
      <w:lvlText w:val="%1)"/>
      <w:lvlJc w:val="left"/>
      <w:pPr>
        <w:ind w:left="121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85C4FA6"/>
    <w:multiLevelType w:val="multilevel"/>
    <w:tmpl w:val="385C4FA6"/>
    <w:lvl w:ilvl="0">
      <w:start w:val="1"/>
      <w:numFmt w:val="lowerLetter"/>
      <w:pStyle w:val="HUBa"/>
      <w:lvlText w:val="%1)"/>
      <w:lvlJc w:val="left"/>
      <w:pPr>
        <w:ind w:left="1413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abstractNum w:abstractNumId="3">
    <w:nsid w:val="6EB15E2A"/>
    <w:multiLevelType w:val="multilevel"/>
    <w:tmpl w:val="6EB15E2A"/>
    <w:lvl w:ilvl="0">
      <w:start w:val="1"/>
      <w:numFmt w:val="decimal"/>
      <w:pStyle w:val="HUB1"/>
      <w:suff w:val="nothing"/>
      <w:lvlText w:val="%1."/>
      <w:lvlJc w:val="left"/>
      <w:pPr>
        <w:ind w:left="567" w:hanging="567"/>
      </w:pPr>
      <w:rPr>
        <w:rFonts w:ascii="微软雅黑" w:eastAsia="微软雅黑" w:hAnsi="微软雅黑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</w:rPr>
    </w:lvl>
    <w:lvl w:ilvl="1">
      <w:start w:val="1"/>
      <w:numFmt w:val="decimal"/>
      <w:pStyle w:val="HUB2"/>
      <w:suff w:val="nothing"/>
      <w:lvlText w:val="%1.%2."/>
      <w:lvlJc w:val="left"/>
      <w:pPr>
        <w:ind w:left="992" w:hanging="567"/>
      </w:pPr>
      <w:rPr>
        <w:rFonts w:ascii="微软雅黑" w:eastAsia="微软雅黑" w:hAnsi="微软雅黑" w:hint="eastAsia"/>
        <w:b/>
      </w:rPr>
    </w:lvl>
    <w:lvl w:ilvl="2">
      <w:start w:val="1"/>
      <w:numFmt w:val="decimal"/>
      <w:pStyle w:val="HUB3"/>
      <w:suff w:val="nothing"/>
      <w:lvlText w:val="%1.%2.%3."/>
      <w:lvlJc w:val="left"/>
      <w:pPr>
        <w:ind w:left="852" w:hanging="284"/>
      </w:pPr>
      <w:rPr>
        <w:rFonts w:ascii="微软雅黑" w:eastAsia="微软雅黑" w:hAnsi="微软雅黑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</w:rPr>
    </w:lvl>
    <w:lvl w:ilvl="3">
      <w:start w:val="1"/>
      <w:numFmt w:val="decimal"/>
      <w:pStyle w:val="HUB4"/>
      <w:suff w:val="nothing"/>
      <w:lvlText w:val="%1.%2.%3.%4."/>
      <w:lvlJc w:val="left"/>
      <w:pPr>
        <w:ind w:left="1703" w:hanging="993"/>
      </w:pPr>
      <w:rPr>
        <w:rFonts w:ascii="微软雅黑" w:eastAsia="微软雅黑" w:hAnsi="微软雅黑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</w:rPr>
    </w:lvl>
    <w:lvl w:ilvl="4">
      <w:start w:val="1"/>
      <w:numFmt w:val="decimal"/>
      <w:pStyle w:val="HUB5"/>
      <w:lvlText w:val="%1.%2.%3.%4.%5."/>
      <w:lvlJc w:val="left"/>
      <w:pPr>
        <w:ind w:left="28" w:hanging="28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har4"/>
    <w:uiPriority w:val="99"/>
    <w:semiHidden/>
    <w:unhideWhenUsed/>
    <w:qFormat/>
    <w:rPr>
      <w:b/>
      <w:bCs/>
    </w:rPr>
  </w:style>
  <w:style w:type="paragraph" w:styleId="CommentText">
    <w:name w:val="annotation text"/>
    <w:basedOn w:val="Normal"/>
    <w:link w:val="Char0"/>
    <w:qFormat/>
    <w:pPr>
      <w:jc w:val="left"/>
    </w:pPr>
  </w:style>
  <w:style w:type="paragraph" w:styleId="BalloonText">
    <w:name w:val="Balloon Text"/>
    <w:basedOn w:val="Normal"/>
    <w:link w:val="Char1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ubtitle">
    <w:name w:val="Subtitle"/>
    <w:basedOn w:val="Normal"/>
    <w:next w:val="Normal"/>
    <w:link w:val="Char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List">
    <w:name w:val="List"/>
    <w:basedOn w:val="Normal"/>
    <w:uiPriority w:val="99"/>
    <w:semiHidden/>
    <w:unhideWhenUsed/>
    <w:qFormat/>
    <w:pPr>
      <w:ind w:left="200" w:hanging="200" w:hangingChars="200"/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table" w:styleId="TableGrid">
    <w:name w:val="Table Grid"/>
    <w:basedOn w:val="TableNormal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B1">
    <w:name w:val="HUB_1"/>
    <w:link w:val="HUB10"/>
    <w:qFormat/>
    <w:pPr>
      <w:numPr>
        <w:numId w:val="1"/>
      </w:numPr>
      <w:spacing w:before="120" w:after="120"/>
      <w:outlineLvl w:val="0"/>
    </w:pPr>
    <w:rPr>
      <w:rFonts w:ascii="宋体" w:eastAsia="微软雅黑" w:hAnsi="宋体"/>
      <w:b/>
      <w:bCs/>
      <w:kern w:val="44"/>
      <w:sz w:val="28"/>
      <w:szCs w:val="28"/>
    </w:rPr>
  </w:style>
  <w:style w:type="character" w:customStyle="1" w:styleId="HUB10">
    <w:name w:val="HUB_1 字符"/>
    <w:basedOn w:val="DefaultParagraphFont"/>
    <w:link w:val="HUB1"/>
    <w:qFormat/>
    <w:rPr>
      <w:rFonts w:ascii="宋体" w:eastAsia="微软雅黑" w:hAnsi="宋体"/>
      <w:b/>
      <w:bCs/>
      <w:kern w:val="44"/>
      <w:sz w:val="28"/>
      <w:szCs w:val="28"/>
    </w:rPr>
  </w:style>
  <w:style w:type="paragraph" w:customStyle="1" w:styleId="HUB2">
    <w:name w:val="HUB_2"/>
    <w:link w:val="HUB20"/>
    <w:qFormat/>
    <w:pPr>
      <w:numPr>
        <w:ilvl w:val="1"/>
        <w:numId w:val="1"/>
      </w:numPr>
      <w:spacing w:before="120" w:after="120"/>
      <w:outlineLvl w:val="1"/>
    </w:pPr>
    <w:rPr>
      <w:rFonts w:ascii="宋体" w:eastAsia="微软雅黑" w:hAnsi="宋体" w:cstheme="majorBidi"/>
      <w:b/>
      <w:bCs/>
      <w:kern w:val="2"/>
      <w:sz w:val="28"/>
      <w:szCs w:val="28"/>
    </w:rPr>
  </w:style>
  <w:style w:type="character" w:customStyle="1" w:styleId="HUB20">
    <w:name w:val="HUB_2 字符"/>
    <w:basedOn w:val="DefaultParagraphFont"/>
    <w:link w:val="HUB2"/>
    <w:qFormat/>
    <w:rPr>
      <w:rFonts w:ascii="宋体" w:eastAsia="微软雅黑" w:hAnsi="宋体" w:cstheme="majorBidi"/>
      <w:b/>
      <w:bCs/>
      <w:sz w:val="28"/>
      <w:szCs w:val="28"/>
    </w:rPr>
  </w:style>
  <w:style w:type="character" w:customStyle="1" w:styleId="1Char">
    <w:name w:val="标题 1 Char"/>
    <w:basedOn w:val="DefaultParagraphFont"/>
    <w:link w:val="Heading1"/>
    <w:uiPriority w:val="9"/>
    <w:qFormat/>
    <w:rPr>
      <w:b/>
      <w:bCs/>
      <w:kern w:val="44"/>
      <w:sz w:val="44"/>
      <w:szCs w:val="44"/>
    </w:rPr>
  </w:style>
  <w:style w:type="paragraph" w:customStyle="1" w:styleId="HUB3">
    <w:name w:val="HUB_3"/>
    <w:qFormat/>
    <w:pPr>
      <w:numPr>
        <w:ilvl w:val="2"/>
        <w:numId w:val="1"/>
      </w:numPr>
      <w:spacing w:before="120" w:after="120"/>
      <w:outlineLvl w:val="2"/>
    </w:pPr>
    <w:rPr>
      <w:rFonts w:ascii="宋体" w:eastAsia="微软雅黑" w:hAnsi="宋体" w:cstheme="majorBidi"/>
      <w:b/>
      <w:bCs/>
      <w:kern w:val="2"/>
      <w:sz w:val="28"/>
      <w:szCs w:val="28"/>
    </w:rPr>
  </w:style>
  <w:style w:type="paragraph" w:customStyle="1" w:styleId="HUB4">
    <w:name w:val="HUB_4"/>
    <w:link w:val="HUB40"/>
    <w:qFormat/>
    <w:pPr>
      <w:keepNext/>
      <w:keepLines/>
      <w:numPr>
        <w:ilvl w:val="3"/>
        <w:numId w:val="1"/>
      </w:numPr>
      <w:spacing w:before="120" w:after="120"/>
      <w:outlineLvl w:val="3"/>
    </w:pPr>
    <w:rPr>
      <w:rFonts w:ascii="宋体" w:eastAsia="微软雅黑" w:hAnsi="宋体"/>
      <w:b/>
      <w:bCs/>
      <w:kern w:val="2"/>
      <w:sz w:val="28"/>
      <w:szCs w:val="28"/>
    </w:rPr>
  </w:style>
  <w:style w:type="character" w:customStyle="1" w:styleId="2Char">
    <w:name w:val="标题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UB40">
    <w:name w:val="HUB_4 字符"/>
    <w:basedOn w:val="DefaultParagraphFont"/>
    <w:link w:val="HUB4"/>
    <w:qFormat/>
    <w:rPr>
      <w:rFonts w:ascii="宋体" w:eastAsia="微软雅黑" w:hAnsi="宋体"/>
      <w:b/>
      <w:bCs/>
      <w:sz w:val="28"/>
      <w:szCs w:val="28"/>
    </w:rPr>
  </w:style>
  <w:style w:type="paragraph" w:customStyle="1" w:styleId="HUB5">
    <w:name w:val="HUB_5"/>
    <w:link w:val="HUB50"/>
    <w:qFormat/>
    <w:pPr>
      <w:numPr>
        <w:ilvl w:val="4"/>
        <w:numId w:val="1"/>
      </w:numPr>
      <w:spacing w:before="120" w:after="120"/>
      <w:outlineLvl w:val="4"/>
    </w:pPr>
    <w:rPr>
      <w:rFonts w:ascii="宋体" w:eastAsia="宋体" w:hAnsi="宋体"/>
      <w:b/>
      <w:bCs/>
      <w:kern w:val="2"/>
      <w:sz w:val="28"/>
      <w:szCs w:val="28"/>
    </w:rPr>
  </w:style>
  <w:style w:type="character" w:customStyle="1" w:styleId="3Char">
    <w:name w:val="标题 3 Char"/>
    <w:basedOn w:val="DefaultParagraphFont"/>
    <w:link w:val="Heading3"/>
    <w:uiPriority w:val="9"/>
    <w:qFormat/>
    <w:rPr>
      <w:b/>
      <w:bCs/>
      <w:sz w:val="32"/>
      <w:szCs w:val="32"/>
    </w:rPr>
  </w:style>
  <w:style w:type="character" w:customStyle="1" w:styleId="HUB50">
    <w:name w:val="HUB_5 字符"/>
    <w:basedOn w:val="HUB40"/>
    <w:link w:val="HUB5"/>
    <w:qFormat/>
    <w:rPr>
      <w:rFonts w:ascii="宋体" w:eastAsia="宋体" w:hAnsi="宋体"/>
      <w:b/>
      <w:bCs/>
      <w:sz w:val="28"/>
      <w:szCs w:val="28"/>
    </w:rPr>
  </w:style>
  <w:style w:type="paragraph" w:customStyle="1" w:styleId="HUB5B">
    <w:name w:val="HUB_5B"/>
    <w:basedOn w:val="Subtitle"/>
    <w:link w:val="HUB5B0"/>
    <w:qFormat/>
    <w:pPr>
      <w:spacing w:before="0" w:after="120" w:line="240" w:lineRule="auto"/>
      <w:ind w:left="284"/>
      <w:jc w:val="left"/>
      <w:outlineLvl w:val="5"/>
    </w:pPr>
    <w:rPr>
      <w:rFonts w:ascii="宋体" w:eastAsia="微软雅黑" w:hAnsi="宋体"/>
      <w:color w:val="404040" w:themeColor="text1" w:themeTint="BF"/>
      <w:sz w:val="24"/>
      <w:szCs w:val="28"/>
    </w:rPr>
  </w:style>
  <w:style w:type="character" w:customStyle="1" w:styleId="HUB5B0">
    <w:name w:val="HUB_5B 字符"/>
    <w:basedOn w:val="DefaultParagraphFont"/>
    <w:link w:val="HUB5B"/>
    <w:qFormat/>
    <w:rPr>
      <w:rFonts w:ascii="宋体" w:eastAsia="微软雅黑" w:hAnsi="宋体"/>
      <w:b/>
      <w:bCs/>
      <w:color w:val="404040" w:themeColor="text1" w:themeTint="BF"/>
      <w:kern w:val="28"/>
      <w:sz w:val="24"/>
      <w:szCs w:val="28"/>
    </w:rPr>
  </w:style>
  <w:style w:type="paragraph" w:customStyle="1" w:styleId="HUB11">
    <w:name w:val="HUB_编号_1"/>
    <w:basedOn w:val="List"/>
    <w:link w:val="HUB12"/>
    <w:qFormat/>
    <w:pPr>
      <w:numPr>
        <w:numId w:val="2"/>
      </w:numPr>
      <w:adjustRightInd w:val="0"/>
      <w:spacing w:after="120" w:line="360" w:lineRule="auto"/>
      <w:ind w:firstLineChars="0"/>
      <w:jc w:val="left"/>
    </w:pPr>
    <w:rPr>
      <w:rFonts w:ascii="宋体" w:eastAsia="微软雅黑" w:hAnsi="宋体"/>
      <w:sz w:val="24"/>
      <w:szCs w:val="28"/>
    </w:rPr>
  </w:style>
  <w:style w:type="character" w:customStyle="1" w:styleId="HUB12">
    <w:name w:val="HUB_编号_1 字符"/>
    <w:basedOn w:val="DefaultParagraphFont"/>
    <w:link w:val="HUB11"/>
    <w:qFormat/>
    <w:rPr>
      <w:rFonts w:ascii="宋体" w:eastAsia="微软雅黑" w:hAnsi="宋体"/>
      <w:sz w:val="24"/>
      <w:szCs w:val="28"/>
    </w:rPr>
  </w:style>
  <w:style w:type="paragraph" w:customStyle="1" w:styleId="HUB13">
    <w:name w:val="HUB_编号_1)"/>
    <w:link w:val="HUB14"/>
    <w:qFormat/>
    <w:pPr>
      <w:numPr>
        <w:numId w:val="3"/>
      </w:numPr>
    </w:pPr>
    <w:rPr>
      <w:rFonts w:ascii="宋体" w:eastAsia="微软雅黑" w:hAnsi="宋体"/>
      <w:kern w:val="2"/>
      <w:sz w:val="24"/>
      <w:szCs w:val="28"/>
    </w:rPr>
  </w:style>
  <w:style w:type="character" w:customStyle="1" w:styleId="Char">
    <w:name w:val="副标题 Char"/>
    <w:basedOn w:val="DefaultParagraphFont"/>
    <w:link w:val="Subtitle"/>
    <w:uiPriority w:val="11"/>
    <w:qFormat/>
    <w:rPr>
      <w:b/>
      <w:bCs/>
      <w:kern w:val="28"/>
      <w:sz w:val="32"/>
      <w:szCs w:val="32"/>
    </w:rPr>
  </w:style>
  <w:style w:type="character" w:customStyle="1" w:styleId="HUB14">
    <w:name w:val="HUB_编号_1) 字符"/>
    <w:basedOn w:val="HUB12"/>
    <w:link w:val="HUB13"/>
    <w:qFormat/>
    <w:rPr>
      <w:rFonts w:ascii="宋体" w:eastAsia="微软雅黑" w:hAnsi="宋体"/>
      <w:sz w:val="24"/>
      <w:szCs w:val="28"/>
    </w:rPr>
  </w:style>
  <w:style w:type="paragraph" w:customStyle="1" w:styleId="HUBa">
    <w:name w:val="HUB_编号_a)"/>
    <w:qFormat/>
    <w:pPr>
      <w:numPr>
        <w:numId w:val="4"/>
      </w:numPr>
      <w:spacing w:before="50" w:after="50" w:line="360" w:lineRule="auto"/>
    </w:pPr>
    <w:rPr>
      <w:rFonts w:ascii="微软雅黑" w:eastAsia="微软雅黑" w:hAnsi="微软雅黑" w:cs="Times New Roman"/>
      <w:kern w:val="2"/>
      <w:sz w:val="24"/>
      <w:szCs w:val="21"/>
    </w:rPr>
  </w:style>
  <w:style w:type="paragraph" w:customStyle="1" w:styleId="HUB">
    <w:name w:val="HUB_表格"/>
    <w:basedOn w:val="Normal"/>
    <w:link w:val="HUB0"/>
    <w:qFormat/>
    <w:rPr>
      <w:rFonts w:ascii="微软雅黑" w:eastAsia="微软雅黑" w:hAnsi="微软雅黑" w:cs="Times New Roman"/>
      <w:color w:val="000000"/>
      <w:sz w:val="18"/>
    </w:rPr>
  </w:style>
  <w:style w:type="character" w:customStyle="1" w:styleId="HUB0">
    <w:name w:val="HUB_表格 字符"/>
    <w:basedOn w:val="DefaultParagraphFont"/>
    <w:link w:val="HUB"/>
    <w:qFormat/>
    <w:rPr>
      <w:rFonts w:ascii="微软雅黑" w:eastAsia="微软雅黑" w:hAnsi="微软雅黑" w:cs="Times New Roman"/>
      <w:color w:val="000000"/>
      <w:sz w:val="18"/>
    </w:rPr>
  </w:style>
  <w:style w:type="paragraph" w:customStyle="1" w:styleId="HUB6">
    <w:name w:val="HUB_图片"/>
    <w:basedOn w:val="Normal"/>
    <w:link w:val="HUB7"/>
    <w:qFormat/>
    <w:pPr>
      <w:spacing w:before="100" w:beforeAutospacing="1" w:after="100" w:afterAutospacing="1"/>
    </w:pPr>
    <w:rPr>
      <w:rFonts w:ascii="微软雅黑" w:eastAsia="微软雅黑" w:hAnsi="微软雅黑" w:cs="Times New Roman"/>
    </w:rPr>
  </w:style>
  <w:style w:type="character" w:customStyle="1" w:styleId="HUB7">
    <w:name w:val="HUB_图片 字符"/>
    <w:basedOn w:val="DefaultParagraphFont"/>
    <w:link w:val="HUB6"/>
    <w:qFormat/>
    <w:rPr>
      <w:rFonts w:ascii="微软雅黑" w:eastAsia="微软雅黑" w:hAnsi="微软雅黑" w:cs="Times New Roman"/>
    </w:rPr>
  </w:style>
  <w:style w:type="paragraph" w:customStyle="1" w:styleId="HUB8">
    <w:name w:val="HUB_页眉"/>
    <w:link w:val="HUB9"/>
    <w:qFormat/>
    <w:rPr>
      <w:kern w:val="2"/>
      <w:sz w:val="21"/>
      <w:szCs w:val="22"/>
    </w:rPr>
  </w:style>
  <w:style w:type="character" w:customStyle="1" w:styleId="HUB9">
    <w:name w:val="HUB_页眉 字符"/>
    <w:basedOn w:val="DefaultParagraphFont"/>
    <w:link w:val="HUB8"/>
    <w:qFormat/>
  </w:style>
  <w:style w:type="paragraph" w:customStyle="1" w:styleId="HUB15">
    <w:name w:val="HUB_正文"/>
    <w:basedOn w:val="Normal"/>
    <w:link w:val="HUB16"/>
    <w:qFormat/>
    <w:pPr>
      <w:spacing w:line="360" w:lineRule="auto"/>
      <w:ind w:left="318" w:firstLine="238"/>
      <w:jc w:val="left"/>
    </w:pPr>
    <w:rPr>
      <w:rFonts w:ascii="Cambria Math" w:eastAsia="微软雅黑" w:hAnsi="Cambria Math" w:cs="Times New Roman"/>
      <w:color w:val="000000"/>
      <w:kern w:val="0"/>
      <w:sz w:val="24"/>
      <w:szCs w:val="20"/>
    </w:rPr>
  </w:style>
  <w:style w:type="character" w:customStyle="1" w:styleId="HUB16">
    <w:name w:val="HUB_正文 字符"/>
    <w:link w:val="HUB15"/>
    <w:qFormat/>
    <w:rPr>
      <w:rFonts w:ascii="Cambria Math" w:eastAsia="微软雅黑" w:hAnsi="Cambria Math" w:cs="Times New Roman"/>
      <w:color w:val="000000"/>
      <w:kern w:val="0"/>
      <w:sz w:val="24"/>
      <w:szCs w:val="20"/>
    </w:rPr>
  </w:style>
  <w:style w:type="character" w:customStyle="1" w:styleId="Char0">
    <w:name w:val="批注文字 Char"/>
    <w:basedOn w:val="DefaultParagraphFont"/>
    <w:link w:val="CommentText"/>
    <w:qFormat/>
  </w:style>
  <w:style w:type="character" w:customStyle="1" w:styleId="Char1">
    <w:name w:val="批注框文本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Char3">
    <w:name w:val="页脚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Char4">
    <w:name w:val="批注主题 Char"/>
    <w:basedOn w:val="Char0"/>
    <w:link w:val="CommentSubject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yafei</dc:creator>
  <cp:lastModifiedBy>Windows User</cp:lastModifiedBy>
  <cp:revision>5</cp:revision>
  <dcterms:created xsi:type="dcterms:W3CDTF">2021-12-23T11:36:00Z</dcterms:created>
  <dcterms:modified xsi:type="dcterms:W3CDTF">2021-12-30T06:19:00Z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